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8B6E5B" w:rsidRDefault="00820966" w:rsidP="00D11424">
      <w:pPr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820966" w:rsidRPr="008B6E5B" w:rsidRDefault="00820966" w:rsidP="00D11424">
      <w:pPr>
        <w:tabs>
          <w:tab w:val="left" w:pos="6966"/>
        </w:tabs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820966" w:rsidRDefault="00DE6162" w:rsidP="00D11424">
      <w:pPr>
        <w:tabs>
          <w:tab w:val="left" w:pos="6966"/>
        </w:tabs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="00D11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966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D11424" w:rsidRPr="00DD7447" w:rsidRDefault="00DD7447" w:rsidP="00D11424">
      <w:pPr>
        <w:tabs>
          <w:tab w:val="left" w:pos="6966"/>
        </w:tabs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D7447">
        <w:rPr>
          <w:rFonts w:ascii="Times New Roman" w:hAnsi="Times New Roman" w:cs="Times New Roman"/>
          <w:bCs/>
          <w:sz w:val="24"/>
          <w:szCs w:val="36"/>
        </w:rPr>
        <w:t>от 16 апреля 2021 г. № 1359р</w:t>
      </w:r>
    </w:p>
    <w:p w:rsidR="00D11424" w:rsidRPr="008A08D5" w:rsidRDefault="00D11424" w:rsidP="00D11424">
      <w:pPr>
        <w:tabs>
          <w:tab w:val="left" w:pos="6966"/>
        </w:tabs>
        <w:spacing w:after="0" w:line="240" w:lineRule="exact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ИЗВЕЩЕНИЕ</w:t>
      </w:r>
    </w:p>
    <w:p w:rsidR="00820966" w:rsidRPr="008F7F43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проведен</w:t>
      </w:r>
      <w:proofErr w:type="gramStart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>ии ау</w:t>
      </w:r>
      <w:proofErr w:type="gramEnd"/>
      <w:r w:rsidRPr="008F7F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373"/>
      </w:tblGrid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73" w:type="dxa"/>
          </w:tcPr>
          <w:p w:rsidR="00820966" w:rsidRPr="00866F21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аукцион, открытый по составу участников и открытый по форме подачи предложений о размере годовой арендной платы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2E1F03" w:rsidRPr="003B2440" w:rsidRDefault="008A08D5" w:rsidP="003B24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</w:t>
            </w:r>
            <w:r w:rsidR="00DA42B4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 аукциона: </w:t>
            </w:r>
            <w:r w:rsidR="00DE6162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на заключение договора аренды земельного участка, </w:t>
            </w:r>
            <w:r w:rsidR="003B2440" w:rsidRPr="003B2440">
              <w:t xml:space="preserve"> </w:t>
            </w:r>
            <w:r w:rsidR="003B2440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находящегося в собственности </w:t>
            </w:r>
            <w:r w:rsidR="001F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="003B2440" w:rsidRPr="003B2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</w:t>
            </w:r>
          </w:p>
          <w:p w:rsidR="007173E9" w:rsidRPr="007A19BB" w:rsidRDefault="007173E9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603D" w:rsidRDefault="001F110F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Лот № 1. 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емельный участок (категория земе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 - земли населенных пунктов)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кадастровым номером 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29:22:060401:65</w:t>
            </w:r>
            <w:r w:rsid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="00556E9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площадью </w:t>
            </w:r>
            <w:r w:rsidR="003B2440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="009852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B2440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924</w:t>
            </w:r>
            <w:r w:rsidR="00101B1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16CC5" w:rsidRPr="003B2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</w:t>
            </w:r>
            <w:r w:rsidR="0091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м, расположенный по адресу: </w:t>
            </w:r>
            <w:r w:rsidR="00101B15" w:rsidRPr="00101B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Российская Федерация, Архангельская область, муниципальное образование "Город  Архангельск", город Архангельск, 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Окружное шоссе, земельный участок 34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556E95" w:rsidRP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</w:t>
            </w:r>
            <w:r w:rsidR="00556E95">
              <w:t xml:space="preserve"> </w:t>
            </w:r>
            <w:r w:rsidR="00B61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складских площадок</w:t>
            </w:r>
            <w:r w:rsidR="00556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F110F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10F"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– 7 лет с момента подписания</w:t>
            </w:r>
            <w:r w:rsidRPr="001F110F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аренды.</w:t>
            </w:r>
          </w:p>
          <w:p w:rsidR="001F110F" w:rsidRPr="00916CC5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CC5">
              <w:rPr>
                <w:rFonts w:ascii="Times New Roman" w:hAnsi="Times New Roman" w:cs="Times New Roman"/>
                <w:sz w:val="24"/>
                <w:szCs w:val="24"/>
              </w:rPr>
              <w:t>Начальный размер годовой арендной платы:</w:t>
            </w:r>
          </w:p>
          <w:p w:rsidR="001F110F" w:rsidRPr="00916CC5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791 948 (Семьсот девяносто одна тысяча девятьсот сорок восемь) рублей 00 коп. </w:t>
            </w:r>
          </w:p>
          <w:p w:rsidR="001F110F" w:rsidRPr="00916CC5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задатка на участие в аукционе:</w:t>
            </w:r>
          </w:p>
          <w:p w:rsidR="001F110F" w:rsidRPr="00916CC5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395 974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75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Триста девяносто пять тысяч девятьсот семьдесят четыре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 00 коп.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  <w:p w:rsidR="001F110F" w:rsidRPr="00916CC5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"Шаг аукциона"</w:t>
            </w:r>
          </w:p>
          <w:p w:rsidR="001F110F" w:rsidRDefault="001F110F" w:rsidP="001F110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(Двадцать три тысячи семьсот пятьдесят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восемь) рублей 44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(3%)</w:t>
            </w:r>
          </w:p>
          <w:p w:rsidR="001F110F" w:rsidRDefault="001F110F" w:rsidP="0018757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603D" w:rsidRPr="00486DCB" w:rsidRDefault="00F3603D" w:rsidP="00F3603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 – </w:t>
            </w:r>
            <w:r w:rsidRPr="00572419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границах зон с особыми условиями использования территории: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467B"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0467B" w:rsidRPr="00E0467B">
              <w:rPr>
                <w:rFonts w:ascii="Times New Roman" w:hAnsi="Times New Roman" w:cs="Times New Roman"/>
                <w:sz w:val="24"/>
                <w:szCs w:val="24"/>
              </w:rPr>
              <w:t>пояс санитарной охраны источников питьевого и хозяйственно-бытового водоснабжения; санитарный разрыв от железнодорожных путей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Васьково, третья </w:t>
            </w:r>
            <w:proofErr w:type="spellStart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>подзо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(29:00-6:284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0467B" w:rsidRPr="0042529E">
              <w:rPr>
                <w:rFonts w:ascii="Times New Roman" w:hAnsi="Times New Roman" w:cs="Times New Roman"/>
                <w:sz w:val="24"/>
                <w:szCs w:val="24"/>
              </w:rPr>
              <w:t>от 11</w:t>
            </w:r>
            <w:r w:rsidR="009852CB" w:rsidRPr="0042529E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="00E0467B" w:rsidRPr="0042529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852CB" w:rsidRPr="0042529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proofErr w:type="spellStart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Васьково, пятая </w:t>
            </w:r>
            <w:proofErr w:type="spellStart"/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>подзо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F8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(29:00-6.283 </w:t>
            </w:r>
            <w:r w:rsidR="0042529E" w:rsidRPr="0042529E">
              <w:rPr>
                <w:rFonts w:ascii="Times New Roman" w:hAnsi="Times New Roman" w:cs="Times New Roman"/>
                <w:sz w:val="24"/>
                <w:szCs w:val="24"/>
              </w:rPr>
              <w:t>от 11 января 2021 года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proofErr w:type="gramEnd"/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>границы зоны подтопления муниципального образования "Город Архангельск" (территориальные округа Октябрьский, Ломоносовский, Майская Горка, Варавино-</w:t>
            </w:r>
            <w:r w:rsidR="0057241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86DCB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актория) </w:t>
            </w:r>
            <w:r w:rsidR="00486DCB" w:rsidRPr="0042529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(29:00-6.279 от 31</w:t>
            </w:r>
            <w:r w:rsidR="0042529E" w:rsidRPr="0042529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октября </w:t>
            </w:r>
            <w:r w:rsidR="00E0467B" w:rsidRPr="0042529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2020</w:t>
            </w:r>
            <w:r w:rsidR="0042529E" w:rsidRPr="0042529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года</w:t>
            </w:r>
            <w:r w:rsidR="00E0467B" w:rsidRPr="0042529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); </w:t>
            </w:r>
            <w:proofErr w:type="spellStart"/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Васьково, шестая </w:t>
            </w:r>
            <w:proofErr w:type="spellStart"/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>подзона</w:t>
            </w:r>
            <w:proofErr w:type="spellEnd"/>
            <w:r w:rsidR="0087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>(29:00-6.2</w:t>
            </w:r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2529E" w:rsidRPr="0042529E">
              <w:rPr>
                <w:rFonts w:ascii="Times New Roman" w:hAnsi="Times New Roman" w:cs="Times New Roman"/>
                <w:sz w:val="24"/>
                <w:szCs w:val="24"/>
              </w:rPr>
              <w:t>11 января 2021 года</w:t>
            </w:r>
            <w:r w:rsidR="00D940EA" w:rsidRPr="0057241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E0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>приаэродромная</w:t>
            </w:r>
            <w:proofErr w:type="spellEnd"/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аэропорта Васьково</w:t>
            </w:r>
            <w:r w:rsidR="00875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>(29:00-6</w:t>
            </w:r>
            <w:r w:rsidR="009C532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  <w:r w:rsidR="004252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2529E" w:rsidRPr="0042529E">
              <w:rPr>
                <w:rFonts w:ascii="Times New Roman" w:hAnsi="Times New Roman" w:cs="Times New Roman"/>
                <w:sz w:val="24"/>
                <w:szCs w:val="24"/>
              </w:rPr>
              <w:t>11 января 2021 года</w:t>
            </w:r>
            <w:r w:rsidR="00572419" w:rsidRPr="005724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467B" w:rsidRPr="00E04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0ACB" w:rsidRPr="00951597" w:rsidRDefault="002A0ACB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F3603D" w:rsidRPr="00B0488C" w:rsidRDefault="00F3603D" w:rsidP="00F3603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>надземных этажей – 8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высота объекта – 40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земельного участка – 8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0 процентов, 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застройки в границах земельного участка – 10 процентов.</w:t>
            </w:r>
          </w:p>
          <w:p w:rsidR="001F110F" w:rsidRDefault="001F110F" w:rsidP="0018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57C" w:rsidRPr="00A41648" w:rsidRDefault="0018757C" w:rsidP="001F11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48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B0488C" w:rsidRPr="00B0488C" w:rsidRDefault="00F3603D" w:rsidP="00B04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1. Водоснабжение, водоотведение: Возможность подключения объекта, планируемого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к строительству на земельном участке, имеется. 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точка подключения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к централизованной сети водоснабжения определяется на границе земельного участка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0488C" w:rsidRPr="0008400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на расстоянии приблизительно 440 метров от действующей сети водоснабжения </w:t>
            </w:r>
            <w:proofErr w:type="spellStart"/>
            <w:r w:rsidR="00B0488C" w:rsidRPr="0008400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</w:t>
            </w:r>
            <w:proofErr w:type="spellEnd"/>
            <w:r w:rsidR="00B0488C" w:rsidRPr="0008400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400 мм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 по ул. </w:t>
            </w:r>
            <w:proofErr w:type="spellStart"/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>Карпогорской</w:t>
            </w:r>
            <w:proofErr w:type="spellEnd"/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Свободная мощность существующих централизованных сетей </w:t>
            </w:r>
            <w:r w:rsidR="00B0488C" w:rsidRPr="009852C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для подключения имеется, максимальная нагрузка для подключения Объекта - </w:t>
            </w:r>
            <w:r w:rsidR="00B0488C" w:rsidRPr="000840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1,5 м</w:t>
            </w:r>
            <w:r w:rsidR="0008400B" w:rsidRPr="0008400B">
              <w:rPr>
                <w:rFonts w:ascii="Times New Roman" w:hAnsi="Times New Roman" w:cs="Times New Roman"/>
                <w:spacing w:val="-10"/>
                <w:sz w:val="24"/>
                <w:szCs w:val="24"/>
                <w:vertAlign w:val="superscript"/>
              </w:rPr>
              <w:t>3</w:t>
            </w:r>
            <w:r w:rsidR="00B0488C" w:rsidRPr="0008400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/сутки</w:t>
            </w:r>
            <w:r w:rsidR="00B0488C" w:rsidRPr="009852CB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устройства водопроводной насосной станции определить после заключения договора на подключение в рамках разработки проекта.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Централизованные сети водоотведения в районе строительства Объекта отсутствуют. Необходимо устройство локальных очистных сооружений или водонепроницаемого накопителя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0488C" w:rsidRPr="00B04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последующим вывозом стоков на районные канализационные насосные станции.</w:t>
            </w:r>
          </w:p>
          <w:p w:rsidR="00F3603D" w:rsidRPr="006F6CCD" w:rsidRDefault="00B0488C" w:rsidP="002A1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данных предварительных технических условий - 1 год.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стать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й 18 п. 13 Федерального закона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2011 года № 416-ФЗ 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, плата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0488C">
              <w:rPr>
                <w:rFonts w:ascii="Times New Roman" w:hAnsi="Times New Roman" w:cs="Times New Roman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B0488C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подключения к централизованной системе холодного водоснабжения (водоотведения)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"РВК-центр" от 4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717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№ И.</w:t>
            </w:r>
            <w:r w:rsidR="00717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АР-04022021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C2DC9" w:rsidRDefault="000C2DC9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2.Электроснабжение: П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ри максимальной мощности электроустановки до 15 кВт необходимость выполнения мероприятий по строительству новой сети (реконструкции существующей) будет определена проектом. </w:t>
            </w:r>
            <w:proofErr w:type="gramStart"/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Стоимость данного присоединения составляет 550 (Пятьсот пятьдесят рублей)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копеек, в том числе НДС 20%. </w:t>
            </w:r>
            <w:r>
              <w:t xml:space="preserve">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Срок осуществления технологического присоединения равняется 4-м месяцам;</w:t>
            </w:r>
            <w:proofErr w:type="gramEnd"/>
          </w:p>
          <w:p w:rsidR="000C2DC9" w:rsidRPr="000C2DC9" w:rsidRDefault="000C2DC9" w:rsidP="000C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ри максимальной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мощности электроустановки 15 -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150 кВт необходимость выполнения мероприятий по строительству новой сети (реконструкции существующей) будет определена проектом и зависит от величины запрашиваемой мощности и категории надежност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Сто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имость технологического присоединения в данном случае составит:</w:t>
            </w:r>
          </w:p>
          <w:p w:rsidR="000C2DC9" w:rsidRPr="000C2DC9" w:rsidRDefault="000C2DC9" w:rsidP="000C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для 3 категории надежности 66 176 (Шестьдесят шесть тысяч сто семьдесят шесть) рублей 40 копеек, в том числе НДС 20%;</w:t>
            </w:r>
          </w:p>
          <w:p w:rsidR="000C2DC9" w:rsidRDefault="000C2DC9" w:rsidP="000C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для 2 категории надежности 109 500 (Сто девять тысяч пятьсот)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копеек,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ДС 20%.</w:t>
            </w:r>
          </w:p>
          <w:p w:rsidR="000C2DC9" w:rsidRDefault="000C2DC9" w:rsidP="000C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Данная стоимость рассчитана согласно постановлениям Агентства по тарифам и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ценам Архангельской области от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63-э/5 и № 63-э/6 и действует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период 2021 г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Срок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технологического присоединения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равен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 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месяцев.</w:t>
            </w:r>
          </w:p>
          <w:p w:rsidR="000C2DC9" w:rsidRPr="000C2DC9" w:rsidRDefault="000C2DC9" w:rsidP="000C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ри максимальной мощнос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электроустановки свыше 150 кВт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технологического присоединения и необходимость выполнения мероприятий по строительству новой сети (реконструкции существующей) будет определена проектом и зависит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 величины запрашиваемой мощности и категории надежности.</w:t>
            </w:r>
          </w:p>
          <w:p w:rsidR="000C2DC9" w:rsidRPr="006F6CCD" w:rsidRDefault="000C2DC9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будут определяться па основании персонального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выигравшего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DC9">
              <w:rPr>
                <w:rFonts w:ascii="Times New Roman" w:hAnsi="Times New Roman" w:cs="Times New Roman"/>
                <w:sz w:val="24"/>
                <w:szCs w:val="24"/>
              </w:rPr>
              <w:t>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исьм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"АСЭП" от 16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C96FC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6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 w:rsidR="00F360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-658/0</w:t>
            </w:r>
            <w:r w:rsidR="00F3603D" w:rsidRPr="006F6CCD">
              <w:rPr>
                <w:rFonts w:ascii="Times New Roman" w:hAnsi="Times New Roman" w:cs="Times New Roman"/>
                <w:sz w:val="24"/>
                <w:szCs w:val="24"/>
              </w:rPr>
              <w:t>2).</w:t>
            </w:r>
          </w:p>
          <w:p w:rsidR="00F3603D" w:rsidRDefault="00F3603D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 xml:space="preserve">3.Теплоснабжение: </w:t>
            </w:r>
            <w:r w:rsidR="00FD67E7">
              <w:rPr>
                <w:rFonts w:ascii="Times New Roman" w:hAnsi="Times New Roman" w:cs="Times New Roman"/>
                <w:sz w:val="24"/>
                <w:szCs w:val="24"/>
              </w:rPr>
              <w:t xml:space="preserve">Для определения технических возможностей </w:t>
            </w:r>
            <w:r w:rsidR="00FD67E7"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предоставление заявки с указанием информации и приложением документов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D67E7"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Правилами, утвержденными постановлением Правительства РФ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="00FD67E7" w:rsidRPr="00FD67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="00FD67E7" w:rsidRPr="00FD67E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FD67E7"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№ 787 </w:t>
            </w:r>
            <w:r w:rsidRPr="00BA14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D67E7">
              <w:rPr>
                <w:rFonts w:ascii="Times New Roman" w:hAnsi="Times New Roman" w:cs="Times New Roman"/>
                <w:sz w:val="24"/>
                <w:szCs w:val="24"/>
              </w:rPr>
              <w:t>письмо ПАО "ТГК-2" от 2</w:t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6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№ 2201/1</w:t>
            </w:r>
            <w:r w:rsidR="00FD67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D6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6CC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603D" w:rsidRDefault="00C96FCE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4. Ливневая канализация: Ливневая</w:t>
            </w:r>
            <w:r w:rsidR="00F3603D" w:rsidRPr="008A3D98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я, находящаяся в хозяйственном ведении МУП "</w:t>
            </w:r>
            <w:proofErr w:type="spellStart"/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",</w:t>
            </w:r>
            <w:r w:rsidR="00F3603D" w:rsidRPr="008A3D9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а земельном участке отсутствует</w:t>
            </w:r>
            <w:r w:rsidR="00F3603D" w:rsidRPr="008A3D98">
              <w:rPr>
                <w:rFonts w:ascii="Times New Roman" w:hAnsi="Times New Roman" w:cs="Times New Roman"/>
                <w:sz w:val="24"/>
                <w:szCs w:val="24"/>
              </w:rPr>
              <w:t xml:space="preserve"> (письмо  МУП 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Архкомхоз</w:t>
            </w:r>
            <w:proofErr w:type="spellEnd"/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      от </w:t>
            </w:r>
            <w:r w:rsidR="008A3D98" w:rsidRPr="008A3D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3D98" w:rsidRPr="008A3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A3D98" w:rsidRPr="008A3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3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603D" w:rsidRPr="008A3D9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3603D" w:rsidRPr="006F6CCD" w:rsidRDefault="00FD67E7" w:rsidP="00F3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Проектом наружно</w:t>
            </w:r>
            <w:r w:rsidR="0070249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территории складских площадок на земельном участке с кадастровым номером 29:22:060401:65, предусмотреть:</w:t>
            </w:r>
          </w:p>
          <w:p w:rsidR="00FD67E7" w:rsidRPr="00FD67E7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Освещенность территории объекта, подъездных путей к нему со стороны Окружного шоссе, парковок для автомобилей, других площадок в соответствии требованиями С1152.13330.2016. Проектное решение подтвердить светотехническим расчетом.</w:t>
            </w:r>
          </w:p>
          <w:p w:rsidR="00FD67E7" w:rsidRPr="00FD67E7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Питание наружного освещения от вводно-распределительного устройства здания, или от питающей ГП. управление освещением автоматическое (по вопросу технологического присоединения проектируемой сети наружного освещения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необходимо обратиться в сетевую организацию).</w:t>
            </w:r>
          </w:p>
          <w:p w:rsidR="00FD67E7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Линию наружного освещения воздушную с прокладкой самонесущею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светильников на фасаде здания), или кабельную с прокладкой кабеля в земляной </w:t>
            </w:r>
            <w:r w:rsidRPr="00383ABA">
              <w:rPr>
                <w:rFonts w:ascii="Times New Roman" w:hAnsi="Times New Roman" w:cs="Times New Roman"/>
                <w:sz w:val="24"/>
                <w:szCs w:val="24"/>
              </w:rPr>
              <w:t xml:space="preserve">траншее и </w:t>
            </w:r>
            <w:r w:rsidR="00383ABA" w:rsidRPr="00383A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3AB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установкой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светильников на опорах.</w:t>
            </w:r>
          </w:p>
          <w:p w:rsidR="00FD67E7" w:rsidRPr="00FD67E7" w:rsidRDefault="00FD67E7" w:rsidP="00FD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Светильники светодиодные,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удовлетворяющие требованиям Постановления Правительства РФ от 24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2255 "Об утверждении требований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к осветительным устройствам и электрическим лампам, используемым в цепях переменного </w:t>
            </w:r>
            <w:r w:rsidR="0042529E" w:rsidRPr="004252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529E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 w:rsidRPr="009852C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в целях освещения" (с общим индексом цветопередачи не менее 70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с коэффициентом пульсации светового потока не более 15%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со светово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отдачей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110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лм/Вт и цветовой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пературой 3500 - 4500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т.д.),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подключение светильников к магистральном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проводу выполнит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с соблюдением чередования фаз,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 равномерно распределяя нагрузку по фазам.</w:t>
            </w:r>
          </w:p>
          <w:p w:rsidR="00612353" w:rsidRPr="001F110F" w:rsidRDefault="00FD67E7" w:rsidP="009852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 xml:space="preserve">Проект согласовать с сетевой организацией. При необходимости сводный план инженерных сетей согласовать с МУП </w:t>
            </w:r>
            <w:r w:rsidR="002A1AF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2A1AF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D67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действительны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в течение 2-х лет (письмо МП "</w:t>
            </w:r>
            <w:proofErr w:type="spellStart"/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6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1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52CB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916B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9E1BDB">
              <w:rPr>
                <w:rFonts w:ascii="Times New Roman" w:hAnsi="Times New Roman" w:cs="Times New Roman"/>
                <w:sz w:val="24"/>
                <w:szCs w:val="24"/>
              </w:rPr>
              <w:t>/04).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7A19BB" w:rsidRPr="003B192C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70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апреля 2021 года № 1359р.</w:t>
            </w:r>
          </w:p>
          <w:p w:rsidR="00820966" w:rsidRPr="003B192C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муниципального образования "Город Архангельск".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3B192C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3B192C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439); тел.(8182) 607-2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145A6"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Pr="003B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73" w:type="dxa"/>
          </w:tcPr>
          <w:p w:rsidR="007A19BB" w:rsidRDefault="007A19BB" w:rsidP="0091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F110F" w:rsidRPr="003B192C" w:rsidRDefault="001F110F" w:rsidP="001F11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Архангельской области и Ненецкому автономному округу г. Архангельск,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8E3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011117401, единый казначейский счет 40102810045370000016.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срок поступления задатка на расчетный счет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организатора – </w:t>
            </w:r>
            <w:r w:rsidR="00B8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1F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мая </w:t>
            </w:r>
            <w:bookmarkStart w:id="0" w:name="_GoBack"/>
            <w:bookmarkEnd w:id="0"/>
            <w:r w:rsidR="001F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поле "назначение платежа" платежного документа указать текст: "задаток за участие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аукционе _________, лот № ___, земельный участок с кадастровым номером ___________".</w:t>
            </w:r>
          </w:p>
          <w:p w:rsidR="007A19BB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не допущенным к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участию в аукционе, задатки возвращаются в течение трех рабочих дней со дня оформления протокола приема заявок на участие в аукционе. </w:t>
            </w:r>
          </w:p>
          <w:p w:rsidR="007A19BB" w:rsidRPr="00916C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Лицу, признанному победителем аукциона и отказавшемуся от подписания протокола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 результатах аукциона и (или) подписания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задаток не возвращается. Указанное лицо обязано </w:t>
            </w:r>
            <w:proofErr w:type="gramStart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оплатить штраф в</w:t>
            </w:r>
            <w:proofErr w:type="gramEnd"/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размере 20% от цены продажи земельного участка, сложившейся по результатам торгов. </w:t>
            </w:r>
          </w:p>
          <w:p w:rsidR="00820966" w:rsidRPr="00916C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iCs/>
                <w:sz w:val="24"/>
                <w:szCs w:val="20"/>
                <w:lang w:eastAsia="ru-RU"/>
              </w:rPr>
              <w:t xml:space="preserve">Лицам, участвовавшим в аукционе, но не победившим в нем, 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задатки возвращаются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/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течение 3-х дней со дня подписания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(далее заявка): 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претендентом (лично или через своего представителя) в письменном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виде по установленной форме с описью документов.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"Город Архангельск" (далее - департамент) и регистрируется в журнале приема заявок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присвоением каждой заявке номера и с указанием даты и времени подачи документов. На каждом экземпляре документов департаментом делается отметка о принятии заявки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указанием номера, даты и времени подачи документов.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Заявка, поступившая по истечении срока ее приема, вместе с документами по описи,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которой делается отметка об отказе в принятии документов с указанием причины отказа, возвращается в день ее поступления претенденту или его уполномоченному представителю под расписку.</w:t>
            </w:r>
          </w:p>
          <w:p w:rsidR="00820966" w:rsidRPr="00866F21" w:rsidRDefault="008A08D5" w:rsidP="00916C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аукционе, аукцион признается несостоявшимся. Если единственная заявка на участие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аукционе и заявитель, подавший указанную заявку, соответствуют всем требованиям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указанным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участка. При этом цена продажи земельного участка определяется в размере, равном начальной цене предмета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г.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Архангельск, пл. В.И. Ленина,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5, 4 этаж, каб.434,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 9 час. 00 мин. до 12 час. 00 мин. и с 14 час. 00 мин. до 16 час. 00 мин. (время московское).</w:t>
            </w:r>
            <w:proofErr w:type="gramEnd"/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42529E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866F21" w:rsidRDefault="001F110F" w:rsidP="001F1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апреля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42529E" w:rsidP="002A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820966" w:rsidRPr="00866F21" w:rsidRDefault="001F110F" w:rsidP="001F11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мая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 (время московское)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 с указанием банковских реквизитов счета для возврата задатка;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42529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надлежащим образом заверенный перевод на русский язык документов о государственной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820966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8A08D5" w:rsidRPr="008A08D5" w:rsidRDefault="001F110F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мая 2021 года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8A08D5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отказе в допуске претендентов к участию в аукционе, которое оформляется протоколом. </w:t>
            </w:r>
          </w:p>
          <w:p w:rsidR="0099280F" w:rsidRPr="00866F21" w:rsidRDefault="008A08D5" w:rsidP="002A0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допущенных к участию в аукционе, с указанием причин отказа в допуске к участию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8A08D5" w:rsidRPr="008A08D5" w:rsidRDefault="001F110F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 мая 2021 года</w:t>
            </w:r>
            <w:r w:rsidR="00C162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8A08D5" w:rsidRPr="008A0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Архангельск,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пл. В.И. Ленина, д. 5, каб.436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7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A08D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мин. (время московское). 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 аукциона выдаются пронумерованные билеты, которые они поднимают после оглашения аукционистом начальн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65B0">
              <w:t xml:space="preserve"> 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565B0" w:rsidRP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каждого очередного размера </w:t>
            </w:r>
            <w:r w:rsidR="0025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случае, если готовы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этим размером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последующий размер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назначает путем увеличения текущего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на "шаг аукциона". После объявления  очередно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 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арендной платы</w:t>
            </w:r>
            <w:r w:rsidR="005C5145"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следующий размер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соответствии с "шагом аукциона".</w:t>
            </w:r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отсутствии участников аукциона, готовых заключить договор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названным аукционистом размером 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участка, аукционист повторяет этот  размер </w:t>
            </w:r>
            <w:r w:rsidR="005C5145">
              <w:t xml:space="preserve"> 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3 раза.</w:t>
            </w:r>
            <w:proofErr w:type="gramEnd"/>
          </w:p>
          <w:p w:rsidR="008A08D5" w:rsidRPr="008A08D5" w:rsidRDefault="008A08D5" w:rsidP="002A0ACB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после троекратного</w:t>
            </w:r>
            <w:r w:rsidR="001F1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объявления очередного размера 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последним.</w:t>
            </w:r>
          </w:p>
          <w:p w:rsidR="00820966" w:rsidRPr="00866F21" w:rsidRDefault="008A08D5" w:rsidP="005C5145">
            <w:pPr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завершен</w:t>
            </w:r>
            <w:proofErr w:type="gram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 аукционист объявляет о предоставлении права на заключение договора </w:t>
            </w:r>
            <w:r w:rsid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</w:t>
            </w:r>
            <w:r w:rsid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участка, называет размер г</w:t>
            </w:r>
            <w:r w:rsidR="005C5145" w:rsidRPr="005C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одовой арендной платы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  и номер билета победителя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916C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73" w:type="dxa"/>
          </w:tcPr>
          <w:p w:rsidR="008A08D5" w:rsidRPr="00916CC5" w:rsidRDefault="008A08D5" w:rsidP="002A0ACB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заключения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 земельного участка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0966" w:rsidRPr="00916CC5" w:rsidRDefault="008A08D5" w:rsidP="00916CC5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</w:t>
            </w:r>
            <w:r w:rsidR="00916CC5"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Pr="00916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участка в десятидневный срок со дня составления протокола о результатах аукциона.</w:t>
            </w:r>
          </w:p>
        </w:tc>
      </w:tr>
      <w:tr w:rsidR="00820966" w:rsidRPr="00866F21" w:rsidTr="00E640AB">
        <w:tc>
          <w:tcPr>
            <w:tcW w:w="516" w:type="dxa"/>
          </w:tcPr>
          <w:p w:rsidR="00820966" w:rsidRPr="00866F21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73" w:type="dxa"/>
          </w:tcPr>
          <w:p w:rsidR="008A08D5" w:rsidRPr="008A08D5" w:rsidRDefault="008A08D5" w:rsidP="002A0AC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820966" w:rsidRPr="00866F21" w:rsidRDefault="008A08D5" w:rsidP="00FC224F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25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(8182) 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607-290, (8182) 607-299; </w:t>
            </w:r>
            <w:proofErr w:type="spellStart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 (8182)607-2</w:t>
            </w:r>
            <w:r w:rsidR="0029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(8182)607-279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</w:t>
            </w:r>
            <w:r w:rsidR="00FC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0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час. 00 мин. до 12 час. 00 мин. и с 14 час. 00 мин. до 16 час. 00 мин. (время московское).</w:t>
            </w:r>
          </w:p>
        </w:tc>
      </w:tr>
    </w:tbl>
    <w:p w:rsidR="0099280F" w:rsidRDefault="0099280F" w:rsidP="00820966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D11424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10" w:rsidRDefault="00B85E10">
      <w:pPr>
        <w:spacing w:after="0" w:line="240" w:lineRule="auto"/>
      </w:pPr>
      <w:r>
        <w:separator/>
      </w:r>
    </w:p>
  </w:endnote>
  <w:endnote w:type="continuationSeparator" w:id="0">
    <w:p w:rsidR="00B85E10" w:rsidRDefault="00B8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10" w:rsidRDefault="00B85E10">
      <w:pPr>
        <w:spacing w:after="0" w:line="240" w:lineRule="auto"/>
      </w:pPr>
      <w:r>
        <w:separator/>
      </w:r>
    </w:p>
  </w:footnote>
  <w:footnote w:type="continuationSeparator" w:id="0">
    <w:p w:rsidR="00B85E10" w:rsidRDefault="00B85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B83602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B85E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024B20"/>
    <w:rsid w:val="000306E3"/>
    <w:rsid w:val="000406D5"/>
    <w:rsid w:val="000746F8"/>
    <w:rsid w:val="00074A0C"/>
    <w:rsid w:val="0008400B"/>
    <w:rsid w:val="000916B4"/>
    <w:rsid w:val="000A3BF0"/>
    <w:rsid w:val="000C2DC9"/>
    <w:rsid w:val="000E2F0A"/>
    <w:rsid w:val="000E3107"/>
    <w:rsid w:val="000F2B09"/>
    <w:rsid w:val="00101B15"/>
    <w:rsid w:val="00112C67"/>
    <w:rsid w:val="00130350"/>
    <w:rsid w:val="00163193"/>
    <w:rsid w:val="00175459"/>
    <w:rsid w:val="0018757C"/>
    <w:rsid w:val="001A7E22"/>
    <w:rsid w:val="001D1434"/>
    <w:rsid w:val="001E6883"/>
    <w:rsid w:val="001F07FB"/>
    <w:rsid w:val="001F110F"/>
    <w:rsid w:val="002004B3"/>
    <w:rsid w:val="0025187B"/>
    <w:rsid w:val="002565B0"/>
    <w:rsid w:val="002619A2"/>
    <w:rsid w:val="00270EE4"/>
    <w:rsid w:val="00277BAB"/>
    <w:rsid w:val="00281647"/>
    <w:rsid w:val="002957AD"/>
    <w:rsid w:val="002A0ACB"/>
    <w:rsid w:val="002A135D"/>
    <w:rsid w:val="002A1AFF"/>
    <w:rsid w:val="002E1F03"/>
    <w:rsid w:val="002F11C5"/>
    <w:rsid w:val="002F11DC"/>
    <w:rsid w:val="002F2FCD"/>
    <w:rsid w:val="00340AC8"/>
    <w:rsid w:val="003440AC"/>
    <w:rsid w:val="00350CD7"/>
    <w:rsid w:val="00355824"/>
    <w:rsid w:val="003706D7"/>
    <w:rsid w:val="00377CC4"/>
    <w:rsid w:val="00383ABA"/>
    <w:rsid w:val="003B192C"/>
    <w:rsid w:val="003B2440"/>
    <w:rsid w:val="00412A8F"/>
    <w:rsid w:val="0042529E"/>
    <w:rsid w:val="00426406"/>
    <w:rsid w:val="00481CD0"/>
    <w:rsid w:val="00483472"/>
    <w:rsid w:val="00486DCB"/>
    <w:rsid w:val="004B04EB"/>
    <w:rsid w:val="004B2FEF"/>
    <w:rsid w:val="004D1806"/>
    <w:rsid w:val="004F1002"/>
    <w:rsid w:val="00506C9A"/>
    <w:rsid w:val="005271AD"/>
    <w:rsid w:val="0053081A"/>
    <w:rsid w:val="00533EF9"/>
    <w:rsid w:val="0053675D"/>
    <w:rsid w:val="00543678"/>
    <w:rsid w:val="005509BD"/>
    <w:rsid w:val="00556BBB"/>
    <w:rsid w:val="00556E95"/>
    <w:rsid w:val="00565CD4"/>
    <w:rsid w:val="00567EB7"/>
    <w:rsid w:val="005700DE"/>
    <w:rsid w:val="00572419"/>
    <w:rsid w:val="00581D1E"/>
    <w:rsid w:val="00586197"/>
    <w:rsid w:val="00587356"/>
    <w:rsid w:val="00591442"/>
    <w:rsid w:val="005C5145"/>
    <w:rsid w:val="00612353"/>
    <w:rsid w:val="0064727A"/>
    <w:rsid w:val="00673B02"/>
    <w:rsid w:val="00675B15"/>
    <w:rsid w:val="00695BEA"/>
    <w:rsid w:val="006A59EE"/>
    <w:rsid w:val="006B5B31"/>
    <w:rsid w:val="006B6F40"/>
    <w:rsid w:val="006D3DFA"/>
    <w:rsid w:val="006D4539"/>
    <w:rsid w:val="006D4DFD"/>
    <w:rsid w:val="006E6D49"/>
    <w:rsid w:val="00702499"/>
    <w:rsid w:val="00703553"/>
    <w:rsid w:val="007101B8"/>
    <w:rsid w:val="007173E9"/>
    <w:rsid w:val="00721BEC"/>
    <w:rsid w:val="007224FD"/>
    <w:rsid w:val="007331A8"/>
    <w:rsid w:val="007648ED"/>
    <w:rsid w:val="007879EB"/>
    <w:rsid w:val="007A19BB"/>
    <w:rsid w:val="007D49AC"/>
    <w:rsid w:val="007D5D9C"/>
    <w:rsid w:val="007E5D4E"/>
    <w:rsid w:val="008038CC"/>
    <w:rsid w:val="00817304"/>
    <w:rsid w:val="00820966"/>
    <w:rsid w:val="008234AC"/>
    <w:rsid w:val="00835B1E"/>
    <w:rsid w:val="0084718A"/>
    <w:rsid w:val="0086264A"/>
    <w:rsid w:val="00866682"/>
    <w:rsid w:val="00871A1F"/>
    <w:rsid w:val="00875F8C"/>
    <w:rsid w:val="008810E0"/>
    <w:rsid w:val="008A08D5"/>
    <w:rsid w:val="008A1E7B"/>
    <w:rsid w:val="008A3D98"/>
    <w:rsid w:val="008B2E5A"/>
    <w:rsid w:val="008B63E0"/>
    <w:rsid w:val="008C3F55"/>
    <w:rsid w:val="008D6177"/>
    <w:rsid w:val="008E21A9"/>
    <w:rsid w:val="008F0720"/>
    <w:rsid w:val="008F7F43"/>
    <w:rsid w:val="00906567"/>
    <w:rsid w:val="00913299"/>
    <w:rsid w:val="00916CC5"/>
    <w:rsid w:val="00945F13"/>
    <w:rsid w:val="00946542"/>
    <w:rsid w:val="00951597"/>
    <w:rsid w:val="009535A8"/>
    <w:rsid w:val="009600CA"/>
    <w:rsid w:val="0097546F"/>
    <w:rsid w:val="009852CB"/>
    <w:rsid w:val="0099280F"/>
    <w:rsid w:val="009B4AE7"/>
    <w:rsid w:val="009C532A"/>
    <w:rsid w:val="009E0569"/>
    <w:rsid w:val="009F2F21"/>
    <w:rsid w:val="00A1551B"/>
    <w:rsid w:val="00A23C67"/>
    <w:rsid w:val="00A51D5F"/>
    <w:rsid w:val="00A6049E"/>
    <w:rsid w:val="00A863A0"/>
    <w:rsid w:val="00AB08DA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61194"/>
    <w:rsid w:val="00B72A5E"/>
    <w:rsid w:val="00B821CE"/>
    <w:rsid w:val="00B83602"/>
    <w:rsid w:val="00B85E10"/>
    <w:rsid w:val="00BC2D6F"/>
    <w:rsid w:val="00BF238B"/>
    <w:rsid w:val="00C10803"/>
    <w:rsid w:val="00C162E7"/>
    <w:rsid w:val="00C37E8A"/>
    <w:rsid w:val="00C71966"/>
    <w:rsid w:val="00C96FCE"/>
    <w:rsid w:val="00CC431C"/>
    <w:rsid w:val="00CD213E"/>
    <w:rsid w:val="00CD7C67"/>
    <w:rsid w:val="00D02752"/>
    <w:rsid w:val="00D11424"/>
    <w:rsid w:val="00D2463A"/>
    <w:rsid w:val="00D26427"/>
    <w:rsid w:val="00D41D3E"/>
    <w:rsid w:val="00D57559"/>
    <w:rsid w:val="00D73449"/>
    <w:rsid w:val="00D940EA"/>
    <w:rsid w:val="00DA42B4"/>
    <w:rsid w:val="00DA7E88"/>
    <w:rsid w:val="00DB1F33"/>
    <w:rsid w:val="00DD7447"/>
    <w:rsid w:val="00DE6162"/>
    <w:rsid w:val="00DE650F"/>
    <w:rsid w:val="00DF752F"/>
    <w:rsid w:val="00E0467B"/>
    <w:rsid w:val="00E0532E"/>
    <w:rsid w:val="00E108C9"/>
    <w:rsid w:val="00E13B9D"/>
    <w:rsid w:val="00E166C4"/>
    <w:rsid w:val="00E34246"/>
    <w:rsid w:val="00E347ED"/>
    <w:rsid w:val="00E36253"/>
    <w:rsid w:val="00E375B3"/>
    <w:rsid w:val="00E55B7A"/>
    <w:rsid w:val="00ED5EBC"/>
    <w:rsid w:val="00EE4B6B"/>
    <w:rsid w:val="00EF21CC"/>
    <w:rsid w:val="00F145A6"/>
    <w:rsid w:val="00F3603D"/>
    <w:rsid w:val="00F53E54"/>
    <w:rsid w:val="00F70381"/>
    <w:rsid w:val="00FC1694"/>
    <w:rsid w:val="00FC224F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51DA-41B5-46B5-9D3F-8CF07B6A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8</cp:revision>
  <cp:lastPrinted>2021-04-16T07:04:00Z</cp:lastPrinted>
  <dcterms:created xsi:type="dcterms:W3CDTF">2021-04-16T06:23:00Z</dcterms:created>
  <dcterms:modified xsi:type="dcterms:W3CDTF">2021-04-16T12:58:00Z</dcterms:modified>
</cp:coreProperties>
</file>